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8A90E">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411C0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0809E3D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6733574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1F2E022">
            <w:pPr>
              <w:spacing w:line="240" w:lineRule="exact"/>
              <w:ind w:firstLine="0" w:firstLineChars="0"/>
              <w:jc w:val="left"/>
              <w:rPr>
                <w:rFonts w:hint="eastAsia" w:ascii="仿宋" w:hAnsi="仿宋" w:eastAsia="仿宋" w:cs="仿宋"/>
                <w:color w:val="000000"/>
                <w:sz w:val="21"/>
                <w:szCs w:val="15"/>
              </w:rPr>
            </w:pPr>
            <w:r>
              <w:rPr>
                <w:rFonts w:hint="eastAsia" w:ascii="仿宋" w:hAnsi="仿宋" w:eastAsia="仿宋" w:cs="仿宋"/>
                <w:bCs w:val="0"/>
                <w:color w:val="000000"/>
                <w:sz w:val="21"/>
                <w:szCs w:val="15"/>
              </w:rPr>
              <w:t>全面推进系统性变革 奋力打造高水平新型主流媒体集团</w:t>
            </w:r>
          </w:p>
        </w:tc>
        <w:tc>
          <w:tcPr>
            <w:tcW w:w="1819" w:type="dxa"/>
            <w:gridSpan w:val="2"/>
            <w:tcBorders>
              <w:tl2br w:val="nil"/>
              <w:tr2bl w:val="nil"/>
            </w:tcBorders>
            <w:vAlign w:val="center"/>
          </w:tcPr>
          <w:p w14:paraId="7D70077D">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05A755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2DF7AECF">
            <w:pPr>
              <w:spacing w:line="240" w:lineRule="exact"/>
              <w:ind w:firstLine="0" w:firstLineChars="0"/>
              <w:rPr>
                <w:rFonts w:hint="eastAsia" w:ascii="仿宋" w:hAnsi="仿宋" w:eastAsia="仿宋" w:cs="仿宋"/>
                <w:bCs w:val="0"/>
                <w:color w:val="000000"/>
                <w:sz w:val="21"/>
                <w:szCs w:val="15"/>
              </w:rPr>
            </w:pPr>
            <w:r>
              <w:rPr>
                <w:rFonts w:hint="eastAsia" w:ascii="仿宋" w:hAnsi="仿宋" w:eastAsia="仿宋" w:cs="仿宋"/>
                <w:bCs w:val="0"/>
                <w:color w:val="000000"/>
                <w:sz w:val="21"/>
                <w:szCs w:val="15"/>
              </w:rPr>
              <w:t>新闻研究</w:t>
            </w:r>
          </w:p>
        </w:tc>
      </w:tr>
      <w:tr w14:paraId="760D6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4EB3C8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61A8E4A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1F747450">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bCs w:val="0"/>
                <w:color w:val="000000"/>
                <w:sz w:val="21"/>
                <w:szCs w:val="15"/>
              </w:rPr>
              <w:t>6779字</w:t>
            </w:r>
          </w:p>
        </w:tc>
        <w:tc>
          <w:tcPr>
            <w:tcW w:w="1819" w:type="dxa"/>
            <w:gridSpan w:val="2"/>
            <w:tcBorders>
              <w:tl2br w:val="nil"/>
              <w:tr2bl w:val="nil"/>
            </w:tcBorders>
            <w:vAlign w:val="center"/>
          </w:tcPr>
          <w:p w14:paraId="07516A9A">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407CCEC2">
            <w:pPr>
              <w:spacing w:line="240" w:lineRule="exact"/>
              <w:ind w:firstLine="0" w:firstLineChars="0"/>
              <w:rPr>
                <w:rFonts w:hint="eastAsia" w:ascii="仿宋" w:hAnsi="仿宋" w:eastAsia="仿宋" w:cs="仿宋"/>
                <w:color w:val="000000"/>
                <w:sz w:val="21"/>
                <w:szCs w:val="15"/>
              </w:rPr>
            </w:pPr>
          </w:p>
        </w:tc>
      </w:tr>
      <w:tr w14:paraId="398D0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42378D01">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13419AA">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60B0EC7C">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75D618F5">
            <w:pPr>
              <w:spacing w:line="240" w:lineRule="exact"/>
              <w:ind w:firstLine="0" w:firstLineChars="0"/>
              <w:rPr>
                <w:rFonts w:hint="default" w:ascii="仿宋" w:hAnsi="仿宋" w:eastAsia="仿宋" w:cs="仿宋"/>
                <w:color w:val="000000"/>
                <w:sz w:val="21"/>
                <w:szCs w:val="15"/>
                <w:lang w:val="en-US" w:eastAsia="zh-CN"/>
              </w:rPr>
            </w:pPr>
          </w:p>
        </w:tc>
      </w:tr>
      <w:tr w14:paraId="2198F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227361AD">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332FFE3E">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4B243202">
            <w:pPr>
              <w:spacing w:line="240" w:lineRule="exact"/>
              <w:ind w:firstLine="0" w:firstLineChars="0"/>
              <w:rPr>
                <w:rFonts w:hint="eastAsia" w:ascii="华文中宋" w:hAnsi="华文中宋" w:eastAsia="华文中宋"/>
                <w:color w:val="000000"/>
                <w:sz w:val="21"/>
                <w:szCs w:val="21"/>
                <w:lang w:eastAsia="zh-CN"/>
              </w:rPr>
            </w:pPr>
            <w:r>
              <w:rPr>
                <w:rFonts w:hint="eastAsia" w:ascii="仿宋" w:hAnsi="仿宋" w:eastAsia="仿宋" w:cs="仿宋"/>
                <w:bCs w:val="0"/>
                <w:color w:val="000000"/>
                <w:sz w:val="21"/>
                <w:szCs w:val="15"/>
                <w:lang w:val="en-US" w:eastAsia="zh-CN"/>
              </w:rPr>
              <w:t>刘启宇</w:t>
            </w:r>
          </w:p>
        </w:tc>
        <w:tc>
          <w:tcPr>
            <w:tcW w:w="1819" w:type="dxa"/>
            <w:gridSpan w:val="2"/>
            <w:tcBorders>
              <w:tl2br w:val="nil"/>
              <w:tr2bl w:val="nil"/>
            </w:tcBorders>
            <w:vAlign w:val="center"/>
          </w:tcPr>
          <w:p w14:paraId="473088AC">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1FB9E0EE">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bCs w:val="0"/>
                <w:color w:val="000000"/>
                <w:sz w:val="21"/>
                <w:szCs w:val="15"/>
                <w:lang w:val="en-US" w:eastAsia="zh-CN"/>
              </w:rPr>
              <w:t>曹雅芳</w:t>
            </w:r>
          </w:p>
        </w:tc>
      </w:tr>
      <w:tr w14:paraId="056D9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5E26553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481A45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3011CCFA">
            <w:pPr>
              <w:spacing w:line="260" w:lineRule="exact"/>
              <w:ind w:firstLine="0"/>
              <w:rPr>
                <w:rFonts w:hint="default" w:ascii="方正仿宋_GB2312" w:hAnsi="仿宋" w:eastAsia="方正仿宋_GB2312"/>
                <w:color w:val="000000"/>
                <w:szCs w:val="21"/>
                <w:lang w:val="en-US" w:eastAsia="zh-CN"/>
              </w:rPr>
            </w:pPr>
            <w:r>
              <w:rPr>
                <w:rFonts w:hint="eastAsia" w:ascii="仿宋" w:hAnsi="仿宋" w:eastAsia="仿宋" w:cs="仿宋"/>
                <w:bCs w:val="0"/>
                <w:color w:val="000000"/>
                <w:spacing w:val="-6"/>
                <w:sz w:val="21"/>
                <w:szCs w:val="15"/>
                <w:lang w:val="en-US" w:eastAsia="zh-CN"/>
              </w:rPr>
              <w:t>南方报业传媒集团（南方日报社）</w:t>
            </w:r>
          </w:p>
        </w:tc>
        <w:tc>
          <w:tcPr>
            <w:tcW w:w="1819" w:type="dxa"/>
            <w:gridSpan w:val="2"/>
            <w:tcBorders>
              <w:tl2br w:val="nil"/>
              <w:tr2bl w:val="nil"/>
            </w:tcBorders>
            <w:vAlign w:val="center"/>
          </w:tcPr>
          <w:p w14:paraId="677D9FA8">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6D39B874">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62AF2968">
            <w:pPr>
              <w:spacing w:line="240" w:lineRule="exact"/>
              <w:ind w:firstLine="0" w:firstLineChars="0"/>
              <w:rPr>
                <w:rFonts w:hint="eastAsia" w:ascii="仿宋" w:hAnsi="仿宋" w:eastAsia="仿宋" w:cs="仿宋"/>
                <w:color w:val="000000"/>
                <w:sz w:val="21"/>
                <w:szCs w:val="15"/>
                <w:highlight w:val="none"/>
                <w:lang w:eastAsia="zh-CN"/>
              </w:rPr>
            </w:pPr>
            <w:r>
              <w:rPr>
                <w:rFonts w:hint="eastAsia" w:ascii="仿宋" w:hAnsi="仿宋" w:eastAsia="仿宋" w:cs="仿宋"/>
                <w:bCs w:val="0"/>
                <w:color w:val="000000"/>
                <w:sz w:val="21"/>
                <w:szCs w:val="15"/>
                <w:lang w:eastAsia="zh-CN"/>
              </w:rPr>
              <w:t>《</w:t>
            </w:r>
            <w:r>
              <w:rPr>
                <w:rFonts w:hint="eastAsia" w:ascii="仿宋" w:hAnsi="仿宋" w:eastAsia="仿宋" w:cs="仿宋"/>
                <w:bCs w:val="0"/>
                <w:color w:val="000000"/>
                <w:sz w:val="21"/>
                <w:szCs w:val="15"/>
                <w:lang w:val="en-US" w:eastAsia="zh-CN"/>
              </w:rPr>
              <w:t>新闻战线</w:t>
            </w:r>
            <w:r>
              <w:rPr>
                <w:rFonts w:hint="eastAsia" w:ascii="仿宋" w:hAnsi="仿宋" w:eastAsia="仿宋" w:cs="仿宋"/>
                <w:bCs w:val="0"/>
                <w:color w:val="000000"/>
                <w:sz w:val="21"/>
                <w:szCs w:val="15"/>
                <w:lang w:eastAsia="zh-CN"/>
              </w:rPr>
              <w:t>》</w:t>
            </w:r>
            <w:bookmarkStart w:id="0" w:name="_GoBack"/>
            <w:bookmarkEnd w:id="0"/>
          </w:p>
        </w:tc>
      </w:tr>
      <w:tr w14:paraId="26318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5" w:hRule="exact"/>
        </w:trPr>
        <w:tc>
          <w:tcPr>
            <w:tcW w:w="1504" w:type="dxa"/>
            <w:gridSpan w:val="2"/>
            <w:tcBorders>
              <w:tl2br w:val="nil"/>
              <w:tr2bl w:val="nil"/>
            </w:tcBorders>
            <w:vAlign w:val="center"/>
          </w:tcPr>
          <w:p w14:paraId="7FE4244E">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29505C6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45744903">
            <w:pPr>
              <w:spacing w:line="260" w:lineRule="exact"/>
              <w:rPr>
                <w:rFonts w:ascii="方正仿宋_GB2312" w:hAnsi="仿宋"/>
                <w:color w:val="000000"/>
                <w:szCs w:val="21"/>
              </w:rPr>
            </w:pPr>
          </w:p>
        </w:tc>
        <w:tc>
          <w:tcPr>
            <w:tcW w:w="872" w:type="dxa"/>
            <w:tcBorders>
              <w:tl2br w:val="nil"/>
              <w:tr2bl w:val="nil"/>
            </w:tcBorders>
            <w:vAlign w:val="center"/>
          </w:tcPr>
          <w:p w14:paraId="6478841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512CCD3D">
            <w:pPr>
              <w:spacing w:line="240" w:lineRule="exact"/>
              <w:ind w:firstLine="0" w:firstLineChars="0"/>
              <w:rPr>
                <w:rFonts w:ascii="方正仿宋_GB2312" w:hAnsi="仿宋"/>
                <w:color w:val="000000"/>
                <w:szCs w:val="21"/>
              </w:rPr>
            </w:pPr>
            <w:r>
              <w:rPr>
                <w:rFonts w:hint="eastAsia" w:ascii="仿宋" w:hAnsi="仿宋" w:eastAsia="仿宋" w:cs="仿宋"/>
                <w:bCs w:val="0"/>
                <w:color w:val="000000"/>
                <w:sz w:val="21"/>
                <w:szCs w:val="15"/>
                <w:lang w:val="en-US" w:eastAsia="zh-CN"/>
              </w:rPr>
              <w:t>2025年10月（下）</w:t>
            </w:r>
          </w:p>
        </w:tc>
      </w:tr>
      <w:tr w14:paraId="385BE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48D78FF3">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44FF2F0">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3E1EC59B">
            <w:pPr>
              <w:spacing w:line="260" w:lineRule="exact"/>
              <w:rPr>
                <w:rFonts w:hint="eastAsia" w:ascii="华文中宋" w:hAnsi="华文中宋" w:eastAsia="华文中宋"/>
                <w:color w:val="000000"/>
                <w:sz w:val="28"/>
              </w:rPr>
            </w:pPr>
          </w:p>
        </w:tc>
        <w:tc>
          <w:tcPr>
            <w:tcW w:w="1742" w:type="dxa"/>
            <w:gridSpan w:val="2"/>
            <w:tcBorders>
              <w:tl2br w:val="nil"/>
              <w:tr2bl w:val="nil"/>
            </w:tcBorders>
            <w:vAlign w:val="center"/>
          </w:tcPr>
          <w:p w14:paraId="1DFAAF12">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4318C428">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27AB9985">
            <w:pPr>
              <w:spacing w:line="240" w:lineRule="exact"/>
              <w:ind w:firstLine="0" w:firstLineChars="0"/>
              <w:rPr>
                <w:rFonts w:hint="eastAsia" w:ascii="华文中宋" w:hAnsi="华文中宋" w:eastAsia="华文中宋"/>
                <w:color w:val="000000"/>
                <w:sz w:val="28"/>
                <w:lang w:val="en-US" w:eastAsia="zh-CN"/>
              </w:rPr>
            </w:pPr>
            <w:r>
              <w:rPr>
                <w:rFonts w:hint="eastAsia" w:ascii="仿宋" w:hAnsi="仿宋" w:eastAsia="仿宋" w:cs="仿宋"/>
                <w:bCs w:val="0"/>
                <w:color w:val="000000"/>
                <w:sz w:val="21"/>
                <w:szCs w:val="15"/>
                <w:lang w:val="en-US" w:eastAsia="zh-CN"/>
              </w:rPr>
              <w:t>否</w:t>
            </w:r>
          </w:p>
        </w:tc>
      </w:tr>
      <w:tr w14:paraId="3CB0C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7118F01E">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7B9E3505">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69DA1382">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1C8E1DA1">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4A025982">
            <w:pPr>
              <w:ind w:firstLine="420"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党的二十届三中全会以来，南方报业立足省级党报集团的政治责任，强化使命担当，系统谋划制定了包含20项计划、56条改革举措的改革方案，积极探索推进主流媒体系统性变革路径，南方+打造广东传播主平台，传播力稳居省级主流媒体前列；新闻影响力不断提升，中国新闻奖获奖数量大幅提升；探索融媒工作室、“媒体+”多元领域取得显著进展。</w:t>
            </w:r>
          </w:p>
          <w:p w14:paraId="28C14BF7">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论文以习近平文化思想为指导，以南方报业的改革探索为样本，以理论关照现实，展现出鲜明的问题导向，具有极强的实践指导意义；突出顶层设计，</w:t>
            </w:r>
            <w:r>
              <w:rPr>
                <w:rFonts w:hint="eastAsia" w:ascii="仿宋" w:hAnsi="仿宋" w:eastAsia="仿宋" w:cs="仿宋"/>
                <w:color w:val="000000"/>
                <w:sz w:val="21"/>
                <w:szCs w:val="21"/>
              </w:rPr>
              <w:t>从目标、理念、方法、举措等</w:t>
            </w:r>
            <w:r>
              <w:rPr>
                <w:rFonts w:hint="eastAsia" w:ascii="仿宋" w:hAnsi="仿宋" w:eastAsia="仿宋" w:cs="仿宋"/>
                <w:color w:val="000000"/>
                <w:sz w:val="21"/>
                <w:szCs w:val="21"/>
                <w:lang w:val="en-US" w:eastAsia="zh-CN"/>
              </w:rPr>
              <w:t>多维度梳理总结推进系统性变革</w:t>
            </w:r>
            <w:r>
              <w:rPr>
                <w:rFonts w:hint="eastAsia" w:ascii="仿宋" w:hAnsi="仿宋" w:eastAsia="仿宋" w:cs="仿宋"/>
                <w:color w:val="000000"/>
                <w:sz w:val="21"/>
                <w:szCs w:val="21"/>
              </w:rPr>
              <w:t>变革</w:t>
            </w:r>
            <w:r>
              <w:rPr>
                <w:rFonts w:hint="eastAsia" w:ascii="仿宋" w:hAnsi="仿宋" w:eastAsia="仿宋" w:cs="仿宋"/>
                <w:color w:val="000000"/>
                <w:sz w:val="21"/>
                <w:szCs w:val="21"/>
                <w:lang w:val="en-US" w:eastAsia="zh-CN"/>
              </w:rPr>
              <w:t>思路和实践进路，体现出强烈的系统性思维；将南方报业的特色探索与破解媒体行业高质量发展的普遍问题相呼应，</w:t>
            </w:r>
            <w:r>
              <w:rPr>
                <w:rFonts w:hint="eastAsia" w:ascii="仿宋" w:hAnsi="仿宋" w:eastAsia="仿宋" w:cs="仿宋"/>
                <w:color w:val="000000"/>
                <w:sz w:val="21"/>
                <w:szCs w:val="21"/>
              </w:rPr>
              <w:t>为主流媒体</w:t>
            </w:r>
            <w:r>
              <w:rPr>
                <w:rFonts w:hint="eastAsia" w:ascii="仿宋" w:hAnsi="仿宋" w:eastAsia="仿宋" w:cs="仿宋"/>
                <w:color w:val="000000"/>
                <w:sz w:val="21"/>
                <w:szCs w:val="21"/>
                <w:lang w:val="en-US" w:eastAsia="zh-CN"/>
              </w:rPr>
              <w:t>进一步全面深化</w:t>
            </w:r>
            <w:r>
              <w:rPr>
                <w:rFonts w:hint="eastAsia" w:ascii="仿宋" w:hAnsi="仿宋" w:eastAsia="仿宋" w:cs="仿宋"/>
                <w:color w:val="000000"/>
                <w:sz w:val="21"/>
                <w:szCs w:val="21"/>
              </w:rPr>
              <w:t>改革提供了</w:t>
            </w:r>
            <w:r>
              <w:rPr>
                <w:rFonts w:hint="eastAsia" w:ascii="仿宋" w:hAnsi="仿宋" w:eastAsia="仿宋" w:cs="仿宋"/>
                <w:color w:val="000000"/>
                <w:sz w:val="21"/>
                <w:szCs w:val="21"/>
                <w:lang w:val="en-US" w:eastAsia="zh-CN"/>
              </w:rPr>
              <w:t>经验借鉴和</w:t>
            </w:r>
            <w:r>
              <w:rPr>
                <w:rFonts w:hint="eastAsia" w:ascii="仿宋" w:hAnsi="仿宋" w:eastAsia="仿宋" w:cs="仿宋"/>
                <w:color w:val="000000"/>
                <w:sz w:val="21"/>
                <w:szCs w:val="21"/>
              </w:rPr>
              <w:t>有益参考。</w:t>
            </w:r>
          </w:p>
          <w:p w14:paraId="413892AA">
            <w:pPr>
              <w:ind w:firstLine="420" w:firstLineChars="200"/>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论文发表后引发</w:t>
            </w:r>
            <w:r>
              <w:rPr>
                <w:rFonts w:hint="eastAsia" w:ascii="仿宋" w:hAnsi="仿宋" w:eastAsia="仿宋" w:cs="仿宋"/>
                <w:color w:val="000000"/>
                <w:sz w:val="21"/>
                <w:szCs w:val="21"/>
              </w:rPr>
              <w:t>业界学界</w:t>
            </w:r>
            <w:r>
              <w:rPr>
                <w:rFonts w:hint="eastAsia" w:ascii="仿宋" w:hAnsi="仿宋" w:eastAsia="仿宋" w:cs="仿宋"/>
                <w:color w:val="000000"/>
                <w:sz w:val="21"/>
                <w:szCs w:val="21"/>
                <w:lang w:val="en-US" w:eastAsia="zh-CN"/>
              </w:rPr>
              <w:t>广泛</w:t>
            </w:r>
            <w:r>
              <w:rPr>
                <w:rFonts w:hint="eastAsia" w:ascii="仿宋" w:hAnsi="仿宋" w:eastAsia="仿宋" w:cs="仿宋"/>
                <w:color w:val="000000"/>
                <w:sz w:val="21"/>
                <w:szCs w:val="21"/>
              </w:rPr>
              <w:t>关注</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南方报业的“一体化”探索获得主管部门高度肯定，论文被</w:t>
            </w:r>
            <w:r>
              <w:rPr>
                <w:rFonts w:hint="eastAsia" w:ascii="仿宋" w:hAnsi="仿宋" w:eastAsia="仿宋" w:cs="仿宋"/>
                <w:color w:val="000000"/>
                <w:sz w:val="21"/>
                <w:szCs w:val="21"/>
              </w:rPr>
              <w:t>中国知网、维普等多家中文社科期刊平台收录，“学习强国”广东学习平台、南方+等新媒体平台</w:t>
            </w:r>
            <w:r>
              <w:rPr>
                <w:rFonts w:hint="eastAsia" w:ascii="仿宋" w:hAnsi="仿宋" w:eastAsia="仿宋" w:cs="仿宋"/>
                <w:color w:val="000000"/>
                <w:sz w:val="21"/>
                <w:szCs w:val="21"/>
                <w:lang w:val="en-US" w:eastAsia="zh-CN"/>
              </w:rPr>
              <w:t>以及</w:t>
            </w:r>
            <w:r>
              <w:rPr>
                <w:rFonts w:hint="eastAsia" w:ascii="仿宋" w:hAnsi="仿宋" w:eastAsia="仿宋" w:cs="仿宋"/>
                <w:color w:val="000000"/>
                <w:sz w:val="21"/>
                <w:szCs w:val="21"/>
              </w:rPr>
              <w:t>“新闻战线”“中国报业协会”“全中看传媒”等微信公众号全文</w:t>
            </w:r>
            <w:r>
              <w:rPr>
                <w:rFonts w:hint="eastAsia" w:ascii="仿宋" w:hAnsi="仿宋" w:eastAsia="仿宋" w:cs="仿宋"/>
                <w:color w:val="000000"/>
                <w:sz w:val="21"/>
                <w:szCs w:val="21"/>
                <w:lang w:val="en-US" w:eastAsia="zh-CN"/>
              </w:rPr>
              <w:t>转载</w:t>
            </w:r>
            <w:r>
              <w:rPr>
                <w:rFonts w:hint="eastAsia" w:ascii="仿宋" w:hAnsi="仿宋" w:eastAsia="仿宋" w:cs="仿宋"/>
                <w:color w:val="000000"/>
                <w:sz w:val="21"/>
                <w:szCs w:val="21"/>
                <w:lang w:eastAsia="zh-CN"/>
              </w:rPr>
              <w:t>。</w:t>
            </w:r>
          </w:p>
        </w:tc>
      </w:tr>
      <w:tr w14:paraId="29F7E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1" w:hRule="exact"/>
        </w:trPr>
        <w:tc>
          <w:tcPr>
            <w:tcW w:w="992" w:type="dxa"/>
            <w:vMerge w:val="restart"/>
            <w:tcBorders>
              <w:tl2br w:val="nil"/>
              <w:tr2bl w:val="nil"/>
            </w:tcBorders>
            <w:vAlign w:val="center"/>
          </w:tcPr>
          <w:p w14:paraId="03D0F4C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536C9574">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63FA546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52490417">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353487B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C61E9ED">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1CA2D319">
            <w:pPr>
              <w:spacing w:line="280" w:lineRule="exact"/>
              <w:rPr>
                <w:rFonts w:hint="eastAsia" w:ascii="仿宋" w:hAnsi="仿宋" w:eastAsia="仿宋"/>
                <w:color w:val="000000"/>
                <w:szCs w:val="21"/>
              </w:rPr>
            </w:pPr>
            <w:r>
              <w:rPr>
                <w:rFonts w:hint="eastAsia" w:ascii="仿宋" w:hAnsi="仿宋" w:eastAsia="仿宋" w:cs="仿宋"/>
                <w:color w:val="000000"/>
                <w:spacing w:val="-6"/>
                <w:sz w:val="21"/>
                <w:szCs w:val="21"/>
                <w:lang w:bidi="ar"/>
              </w:rPr>
              <w:t>https://article.xuexi.cn/articles/index.html?art_id=17939736089188277700&amp;cdn=https%3A%2F%2Fregion-guangdong-resource&amp;item_id=17939736089188277700&amp;study_style_id=feeds_opaque&amp;t=1768986244667&amp;showmenu=false&amp;ref_read_id=fa4e1275-ac2d-4e00-8622-86de60a0113d_1768986459568&amp;pid=&amp;ptype=-1&amp;share_to=copylink&amp;source=share</w:t>
            </w:r>
          </w:p>
        </w:tc>
      </w:tr>
      <w:tr w14:paraId="3C727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98B3A51">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004DD20E">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23253D88">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6CA6DE6E">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206186</w:t>
            </w:r>
          </w:p>
        </w:tc>
        <w:tc>
          <w:tcPr>
            <w:tcW w:w="1005" w:type="dxa"/>
            <w:tcBorders>
              <w:tl2br w:val="nil"/>
              <w:tr2bl w:val="nil"/>
            </w:tcBorders>
            <w:shd w:val="clear" w:color="auto" w:fill="auto"/>
            <w:vAlign w:val="center"/>
          </w:tcPr>
          <w:p w14:paraId="36EC18CF">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4BD96EAB">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00A1E50">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7103</w:t>
            </w:r>
          </w:p>
        </w:tc>
        <w:tc>
          <w:tcPr>
            <w:tcW w:w="1122" w:type="dxa"/>
            <w:tcBorders>
              <w:tl2br w:val="nil"/>
              <w:tr2bl w:val="nil"/>
            </w:tcBorders>
            <w:vAlign w:val="center"/>
          </w:tcPr>
          <w:p w14:paraId="3FA1CED3">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3ED32800">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25万+</w:t>
            </w:r>
          </w:p>
        </w:tc>
      </w:tr>
      <w:tr w14:paraId="5E8B2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9" w:hRule="exact"/>
        </w:trPr>
        <w:tc>
          <w:tcPr>
            <w:tcW w:w="992" w:type="dxa"/>
            <w:tcBorders>
              <w:tl2br w:val="nil"/>
              <w:tr2bl w:val="nil"/>
            </w:tcBorders>
            <w:vAlign w:val="center"/>
          </w:tcPr>
          <w:p w14:paraId="041060D2">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08284ED">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CA6D852">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C984824">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44B74572">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2BA4B13E">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3FF4A2F2">
            <w:pPr>
              <w:ind w:firstLine="420" w:firstLineChars="200"/>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论文贯彻党的二十届三中、四中全会精神</w:t>
            </w:r>
            <w:r>
              <w:rPr>
                <w:rFonts w:hint="eastAsia" w:ascii="仿宋" w:hAnsi="仿宋" w:eastAsia="仿宋" w:cs="仿宋"/>
                <w:color w:val="000000"/>
                <w:sz w:val="21"/>
                <w:szCs w:val="21"/>
              </w:rPr>
              <w:t>，</w:t>
            </w:r>
            <w:r>
              <w:rPr>
                <w:rFonts w:hint="eastAsia" w:ascii="仿宋" w:hAnsi="仿宋" w:eastAsia="仿宋" w:cs="仿宋"/>
                <w:color w:val="000000"/>
                <w:sz w:val="21"/>
                <w:szCs w:val="21"/>
                <w:lang w:val="en-US" w:eastAsia="zh-CN"/>
              </w:rPr>
              <w:t>深刻把握主流媒体系统性变革的内在逻辑和发展规律，坚持理论与实践紧密结合，全面</w:t>
            </w:r>
            <w:r>
              <w:rPr>
                <w:rFonts w:hint="eastAsia" w:ascii="仿宋" w:hAnsi="仿宋" w:eastAsia="仿宋" w:cs="仿宋"/>
                <w:color w:val="000000"/>
                <w:sz w:val="21"/>
                <w:szCs w:val="21"/>
              </w:rPr>
              <w:t>提出地方媒体推进系统性变革的总体战略和可行路径，为主流媒体</w:t>
            </w:r>
            <w:r>
              <w:rPr>
                <w:rFonts w:hint="eastAsia" w:ascii="仿宋" w:hAnsi="仿宋" w:eastAsia="仿宋" w:cs="仿宋"/>
                <w:color w:val="000000"/>
                <w:sz w:val="21"/>
                <w:szCs w:val="21"/>
                <w:lang w:val="en-US" w:eastAsia="zh-CN"/>
              </w:rPr>
              <w:t>改革发展</w:t>
            </w:r>
            <w:r>
              <w:rPr>
                <w:rFonts w:hint="eastAsia" w:ascii="仿宋" w:hAnsi="仿宋" w:eastAsia="仿宋" w:cs="仿宋"/>
                <w:color w:val="000000"/>
                <w:sz w:val="21"/>
                <w:szCs w:val="21"/>
              </w:rPr>
              <w:t>提供了南方样本和创新范式，具有较大的启发意义</w:t>
            </w:r>
            <w:r>
              <w:rPr>
                <w:rFonts w:hint="eastAsia" w:ascii="仿宋" w:hAnsi="仿宋" w:eastAsia="仿宋" w:cs="仿宋"/>
                <w:color w:val="000000"/>
                <w:sz w:val="21"/>
                <w:szCs w:val="21"/>
                <w:lang w:val="en-US" w:eastAsia="zh-CN"/>
              </w:rPr>
              <w:t>和借鉴价值</w:t>
            </w:r>
            <w:r>
              <w:rPr>
                <w:rFonts w:hint="eastAsia" w:ascii="仿宋" w:hAnsi="仿宋" w:eastAsia="仿宋" w:cs="仿宋"/>
                <w:color w:val="000000"/>
                <w:sz w:val="21"/>
                <w:szCs w:val="21"/>
              </w:rPr>
              <w:t>。</w:t>
            </w:r>
            <w:r>
              <w:rPr>
                <w:rFonts w:hint="eastAsia" w:ascii="仿宋" w:hAnsi="仿宋" w:eastAsia="仿宋" w:cs="仿宋"/>
                <w:color w:val="000000"/>
                <w:sz w:val="21"/>
                <w:szCs w:val="21"/>
                <w:lang w:val="en-US" w:eastAsia="zh-CN"/>
              </w:rPr>
              <w:t>同意推荐。</w:t>
            </w:r>
          </w:p>
          <w:p w14:paraId="25240821">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1E409111">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115DF5DA">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6C8CDB4C">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C798">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67197"/>
    <w:rsid w:val="103E4A53"/>
    <w:rsid w:val="1083717C"/>
    <w:rsid w:val="291819B2"/>
    <w:rsid w:val="2C0E08C1"/>
    <w:rsid w:val="2E0E76A2"/>
    <w:rsid w:val="33363900"/>
    <w:rsid w:val="3BB02E97"/>
    <w:rsid w:val="4CA94913"/>
    <w:rsid w:val="5D250E1A"/>
    <w:rsid w:val="60436DE0"/>
    <w:rsid w:val="70CD2B43"/>
    <w:rsid w:val="73F26870"/>
    <w:rsid w:val="7A381C65"/>
    <w:rsid w:val="B36F429D"/>
    <w:rsid w:val="E7FBB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791</Words>
  <Characters>1120</Characters>
  <Lines>0</Lines>
  <Paragraphs>0</Paragraphs>
  <TotalTime>57</TotalTime>
  <ScaleCrop>false</ScaleCrop>
  <LinksUpToDate>false</LinksUpToDate>
  <CharactersWithSpaces>1224</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2026-04-07T22:18:00Z</dcterms:created>
  <dc:creator>EDY</dc:creator>
  <cp:lastModifiedBy>user</cp:lastModifiedBy>
  <dcterms:modified xsi:type="dcterms:W3CDTF">2026-05-07T16:17:42Z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eyJoZGlkIjoiZDIyYTZjM2U1YzRkNmVlZDIxNTQwZDVkOGU4ZjExZTkiLCJ1c2VySWQiOiIxNjMwMzkyMjA0In0=</vt:lpwstr>
  </property>
  <property fmtid="{D5CDD505-2E9C-101B-9397-08002B2CF9AE}" pid="4" name="ICV">
    <vt:lpwstr>BDC976DD24634FFE940D01B1E859977D_13</vt:lpwstr>
  </property>
</Properties>
</file>